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C3" w:rsidRPr="005E7779" w:rsidRDefault="00E650C3" w:rsidP="00E650C3">
      <w:pPr>
        <w:contextualSpacing/>
        <w:jc w:val="center"/>
        <w:rPr>
          <w:rFonts w:ascii="Arial Black" w:hAnsi="Arial Black"/>
          <w:b/>
          <w:smallCaps/>
          <w:sz w:val="36"/>
          <w:szCs w:val="36"/>
        </w:rPr>
      </w:pPr>
      <w:r w:rsidRPr="005E7779">
        <w:rPr>
          <w:rFonts w:ascii="Arial Black" w:hAnsi="Arial Black"/>
          <w:b/>
          <w:smallCaps/>
          <w:sz w:val="36"/>
          <w:szCs w:val="36"/>
        </w:rPr>
        <w:t>Weekly Letter</w:t>
      </w:r>
      <w:r w:rsidR="006A1A4E" w:rsidRPr="005E7779">
        <w:rPr>
          <w:rFonts w:ascii="Arial Black" w:hAnsi="Arial Black"/>
          <w:b/>
          <w:smallCaps/>
          <w:sz w:val="36"/>
          <w:szCs w:val="36"/>
        </w:rPr>
        <w:t xml:space="preserve"> 1</w:t>
      </w:r>
      <w:r w:rsidR="00313F45">
        <w:rPr>
          <w:rFonts w:ascii="Arial Black" w:hAnsi="Arial Black"/>
          <w:b/>
          <w:smallCaps/>
          <w:sz w:val="36"/>
          <w:szCs w:val="36"/>
        </w:rPr>
        <w:t>3</w:t>
      </w:r>
    </w:p>
    <w:p w:rsidR="00E650C3" w:rsidRPr="005E7779" w:rsidRDefault="00E650C3" w:rsidP="00E650C3">
      <w:pPr>
        <w:contextualSpacing/>
        <w:jc w:val="center"/>
        <w:rPr>
          <w:rFonts w:ascii="Arial Black" w:hAnsi="Arial Black"/>
          <w:b/>
          <w:smallCaps/>
          <w:sz w:val="36"/>
          <w:szCs w:val="36"/>
        </w:rPr>
      </w:pPr>
      <w:r w:rsidRPr="005E7779">
        <w:rPr>
          <w:rFonts w:ascii="Arial Black" w:hAnsi="Arial Black"/>
          <w:b/>
          <w:smallCaps/>
          <w:sz w:val="36"/>
          <w:szCs w:val="36"/>
        </w:rPr>
        <w:t xml:space="preserve">English 1 – Beery </w:t>
      </w:r>
    </w:p>
    <w:p w:rsidR="00E650C3" w:rsidRPr="005E7779" w:rsidRDefault="00C661C2" w:rsidP="00E650C3">
      <w:pPr>
        <w:contextualSpacing/>
        <w:jc w:val="center"/>
        <w:rPr>
          <w:rFonts w:ascii="Arial Black" w:hAnsi="Arial Black"/>
          <w:b/>
          <w:smallCaps/>
          <w:sz w:val="36"/>
          <w:szCs w:val="36"/>
        </w:rPr>
      </w:pPr>
      <w:r>
        <w:rPr>
          <w:rFonts w:ascii="Arial Black" w:hAnsi="Arial Black"/>
          <w:b/>
          <w:smallCaps/>
          <w:sz w:val="36"/>
          <w:szCs w:val="36"/>
        </w:rPr>
        <w:t xml:space="preserve">November </w:t>
      </w:r>
      <w:r w:rsidR="00313F45">
        <w:rPr>
          <w:rFonts w:ascii="Arial Black" w:hAnsi="Arial Black"/>
          <w:b/>
          <w:smallCaps/>
          <w:sz w:val="36"/>
          <w:szCs w:val="36"/>
        </w:rPr>
        <w:t>7-11</w:t>
      </w:r>
    </w:p>
    <w:p w:rsidR="00E650C3" w:rsidRPr="00E650C3" w:rsidRDefault="00E650C3" w:rsidP="00E650C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190750" cy="219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-brother-is-watching-yo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43" cy="219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0C3" w:rsidRDefault="00E650C3">
      <w:pPr>
        <w:rPr>
          <w:b/>
        </w:rPr>
      </w:pPr>
    </w:p>
    <w:p w:rsidR="002A53F1" w:rsidRDefault="002A53F1">
      <w:r>
        <w:t>Dystopias have become staples</w:t>
      </w:r>
      <w:r w:rsidR="002A7EF5">
        <w:t xml:space="preserve"> of YA (Young Adult) literature – </w:t>
      </w:r>
      <w:r w:rsidR="002A7EF5">
        <w:rPr>
          <w:i/>
        </w:rPr>
        <w:t>The Hunger Games</w:t>
      </w:r>
      <w:r w:rsidR="002A7EF5">
        <w:t xml:space="preserve"> is the latest </w:t>
      </w:r>
      <w:r w:rsidR="001F1D09">
        <w:t>hit in this</w:t>
      </w:r>
      <w:r w:rsidR="002A7EF5">
        <w:t xml:space="preserve"> genre – but </w:t>
      </w:r>
      <w:r>
        <w:rPr>
          <w:i/>
        </w:rPr>
        <w:t>1984</w:t>
      </w:r>
      <w:r>
        <w:t xml:space="preserve"> was one of the originals</w:t>
      </w:r>
      <w:r w:rsidR="001F1D09">
        <w:t xml:space="preserve"> and is still considered one of the best books of the 20</w:t>
      </w:r>
      <w:r w:rsidR="001F1D09" w:rsidRPr="001F1D09">
        <w:rPr>
          <w:vertAlign w:val="superscript"/>
        </w:rPr>
        <w:t>th</w:t>
      </w:r>
      <w:r w:rsidR="001F1D09">
        <w:t xml:space="preserve"> century</w:t>
      </w:r>
      <w:r>
        <w:t>.  As you may know, words that have the prefix “dis” or “</w:t>
      </w:r>
      <w:proofErr w:type="spellStart"/>
      <w:r>
        <w:t>dys</w:t>
      </w:r>
      <w:proofErr w:type="spellEnd"/>
      <w:r>
        <w:t>” are to be seen in a negative light: a dysfunctional family, equipment that has fallen into disuse, or a constitution marred by a serious disease. Dystopias</w:t>
      </w:r>
      <w:r w:rsidR="001F1D09">
        <w:t xml:space="preserve"> in fiction</w:t>
      </w:r>
      <w:r>
        <w:t xml:space="preserve"> are the opposite of utopias (a word coined by </w:t>
      </w:r>
      <w:r w:rsidR="002A7EF5">
        <w:t xml:space="preserve">the famous Christian philosopher and sometime advisor to King Henry VIII, Thomas More, literally meaning “no place”).  They usually depict a future in which a problem from the present is expanded and takes over society, and they can be pretty depressing.  When Orwell wrote </w:t>
      </w:r>
      <w:r w:rsidR="001F1D09">
        <w:t>this novel</w:t>
      </w:r>
      <w:r w:rsidR="002A7EF5">
        <w:t>, he was suffering from the tuberculos</w:t>
      </w:r>
      <w:r w:rsidR="001F1D09">
        <w:t>is that would lead to his death</w:t>
      </w:r>
      <w:r w:rsidR="002A7EF5">
        <w:t xml:space="preserve"> within months of the book’s publication.</w:t>
      </w:r>
    </w:p>
    <w:p w:rsidR="001F1D09" w:rsidRDefault="001F1D09"/>
    <w:p w:rsidR="00593D32" w:rsidRDefault="001F1D09" w:rsidP="00593D32">
      <w:pPr>
        <w:shd w:val="clear" w:color="auto" w:fill="FFFFFF"/>
        <w:spacing w:before="100" w:beforeAutospacing="1" w:after="100" w:afterAutospacing="1"/>
        <w:rPr>
          <w:u w:val="single"/>
        </w:rPr>
      </w:pPr>
      <w:r>
        <w:t xml:space="preserve">The authority figures in </w:t>
      </w:r>
      <w:r>
        <w:rPr>
          <w:i/>
        </w:rPr>
        <w:t>1984</w:t>
      </w:r>
      <w:r>
        <w:t xml:space="preserve"> are mostly untrustworthy, and there is no authority other than the legitimate authority. And yet </w:t>
      </w:r>
      <w:proofErr w:type="spellStart"/>
      <w:r>
        <w:t>Ingsoc</w:t>
      </w:r>
      <w:proofErr w:type="spellEnd"/>
      <w:r>
        <w:t xml:space="preserve">, or English Socialism, is not as simple and two-dimensional as it </w:t>
      </w:r>
      <w:r w:rsidR="00A33422">
        <w:t>may seem</w:t>
      </w:r>
      <w:r>
        <w:t xml:space="preserve"> at first. </w:t>
      </w:r>
      <w:r w:rsidR="00A33422">
        <w:t xml:space="preserve">While </w:t>
      </w:r>
      <w:r>
        <w:t xml:space="preserve">you read, notice the lengths to which The Party must go to eliminate, or at least control, normal human interaction, thoughtfulness and trust. Even if Orwell was clearly wrong about </w:t>
      </w:r>
      <w:r>
        <w:rPr>
          <w:i/>
        </w:rPr>
        <w:t>when</w:t>
      </w:r>
      <w:r>
        <w:t xml:space="preserve"> human beings would become so isolated from each other,</w:t>
      </w:r>
      <w:r w:rsidRPr="007F3FE9">
        <w:rPr>
          <w:u w:val="single"/>
        </w:rPr>
        <w:t xml:space="preserve"> </w:t>
      </w:r>
      <w:r w:rsidRPr="00593D32">
        <w:rPr>
          <w:highlight w:val="lightGray"/>
          <w:u w:val="single"/>
        </w:rPr>
        <w:t>can you see signs of some of his dystopian vision creeping into 21</w:t>
      </w:r>
      <w:r w:rsidRPr="00593D32">
        <w:rPr>
          <w:highlight w:val="lightGray"/>
          <w:u w:val="single"/>
          <w:vertAlign w:val="superscript"/>
        </w:rPr>
        <w:t>st</w:t>
      </w:r>
      <w:r w:rsidRPr="00593D32">
        <w:rPr>
          <w:highlight w:val="lightGray"/>
          <w:u w:val="single"/>
        </w:rPr>
        <w:t xml:space="preserve"> century society?</w:t>
      </w:r>
      <w:r w:rsidR="007F3FE9">
        <w:rPr>
          <w:u w:val="single"/>
        </w:rPr>
        <w:t xml:space="preserve">  </w:t>
      </w:r>
    </w:p>
    <w:p w:rsidR="00593D32" w:rsidRDefault="00593D32" w:rsidP="00593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Learning Goals:</w:t>
      </w:r>
    </w:p>
    <w:p w:rsidR="00593D32" w:rsidRPr="00C85679" w:rsidRDefault="00593D32" w:rsidP="00593D32">
      <w:pPr>
        <w:pStyle w:val="ListParagraph"/>
        <w:numPr>
          <w:ilvl w:val="0"/>
          <w:numId w:val="15"/>
        </w:numPr>
        <w:spacing w:after="200" w:line="276" w:lineRule="auto"/>
        <w:rPr>
          <w:sz w:val="18"/>
          <w:szCs w:val="18"/>
        </w:rPr>
      </w:pPr>
      <w:r w:rsidRPr="00C85679">
        <w:rPr>
          <w:sz w:val="18"/>
          <w:szCs w:val="18"/>
        </w:rPr>
        <w:t xml:space="preserve">I can read closely and find answers explicitly in text and answers that require an inference </w:t>
      </w:r>
    </w:p>
    <w:p w:rsidR="00593D32" w:rsidRPr="00C85679" w:rsidRDefault="00593D32" w:rsidP="00593D32">
      <w:pPr>
        <w:pStyle w:val="ListParagraph"/>
        <w:numPr>
          <w:ilvl w:val="0"/>
          <w:numId w:val="15"/>
        </w:numPr>
        <w:spacing w:after="200" w:line="276" w:lineRule="auto"/>
        <w:rPr>
          <w:sz w:val="18"/>
          <w:szCs w:val="18"/>
        </w:rPr>
      </w:pPr>
      <w:r w:rsidRPr="00C85679">
        <w:rPr>
          <w:sz w:val="18"/>
          <w:szCs w:val="18"/>
        </w:rPr>
        <w:t>I can thoroughly support both explicit and inferential questions by analyzing an author’s words and determining multiple pieces of textual evidence that strongly support those questions.</w:t>
      </w:r>
    </w:p>
    <w:p w:rsidR="00593D32" w:rsidRPr="00C85679" w:rsidRDefault="00593D32" w:rsidP="00593D32">
      <w:pPr>
        <w:pStyle w:val="ListParagraph"/>
        <w:numPr>
          <w:ilvl w:val="0"/>
          <w:numId w:val="15"/>
        </w:numPr>
        <w:spacing w:after="200" w:line="276" w:lineRule="auto"/>
        <w:rPr>
          <w:sz w:val="18"/>
          <w:szCs w:val="18"/>
        </w:rPr>
      </w:pPr>
      <w:r w:rsidRPr="00C85679">
        <w:rPr>
          <w:sz w:val="18"/>
          <w:szCs w:val="18"/>
        </w:rPr>
        <w:t>I can determine how specific details in the text reveal and continually refine a theme.</w:t>
      </w:r>
    </w:p>
    <w:p w:rsidR="00593D32" w:rsidRPr="00C85679" w:rsidRDefault="00593D32" w:rsidP="00593D32">
      <w:pPr>
        <w:pStyle w:val="ListParagraph"/>
        <w:numPr>
          <w:ilvl w:val="0"/>
          <w:numId w:val="15"/>
        </w:numPr>
        <w:spacing w:after="200" w:line="276" w:lineRule="auto"/>
        <w:rPr>
          <w:sz w:val="18"/>
          <w:szCs w:val="18"/>
        </w:rPr>
      </w:pPr>
      <w:r w:rsidRPr="00C85679">
        <w:rPr>
          <w:sz w:val="18"/>
          <w:szCs w:val="18"/>
        </w:rPr>
        <w:t xml:space="preserve">I can analyze how complex characters develop over the course of the grade-appropriate text, interact with other characters, and advance the plot of a text or develop the theme.  </w:t>
      </w:r>
    </w:p>
    <w:p w:rsidR="00593D32" w:rsidRPr="00C85679" w:rsidRDefault="00593D32" w:rsidP="00593D32">
      <w:pPr>
        <w:pStyle w:val="ListParagraph"/>
        <w:numPr>
          <w:ilvl w:val="0"/>
          <w:numId w:val="15"/>
        </w:numPr>
        <w:spacing w:after="200" w:line="276" w:lineRule="auto"/>
        <w:rPr>
          <w:sz w:val="18"/>
          <w:szCs w:val="18"/>
        </w:rPr>
      </w:pPr>
      <w:r w:rsidRPr="00C85679">
        <w:rPr>
          <w:sz w:val="18"/>
          <w:szCs w:val="18"/>
        </w:rPr>
        <w:t>I can analyze how specific word choices build upon one another to create a cumulative impact on the overall meaning and tone of a text (i.e., denotative, connotative, figurative)</w:t>
      </w:r>
    </w:p>
    <w:p w:rsidR="00593D32" w:rsidRPr="00C85679" w:rsidRDefault="00593D32" w:rsidP="00593D32">
      <w:pPr>
        <w:pStyle w:val="ListParagraph"/>
        <w:numPr>
          <w:ilvl w:val="0"/>
          <w:numId w:val="15"/>
        </w:numPr>
        <w:spacing w:after="200" w:line="276" w:lineRule="auto"/>
        <w:rPr>
          <w:sz w:val="18"/>
          <w:szCs w:val="18"/>
        </w:rPr>
      </w:pPr>
      <w:r w:rsidRPr="00C85679">
        <w:rPr>
          <w:sz w:val="18"/>
          <w:szCs w:val="18"/>
        </w:rPr>
        <w:t xml:space="preserve">I can analyze substantive topics or texts to </w:t>
      </w:r>
      <w:r>
        <w:rPr>
          <w:sz w:val="18"/>
          <w:szCs w:val="18"/>
        </w:rPr>
        <w:t>compare information</w:t>
      </w:r>
    </w:p>
    <w:p w:rsidR="00593D32" w:rsidRPr="00C85679" w:rsidRDefault="00593D32" w:rsidP="00593D32">
      <w:pPr>
        <w:pStyle w:val="ListParagraph"/>
        <w:numPr>
          <w:ilvl w:val="0"/>
          <w:numId w:val="15"/>
        </w:numPr>
        <w:spacing w:after="200" w:line="276" w:lineRule="auto"/>
        <w:rPr>
          <w:sz w:val="18"/>
          <w:szCs w:val="18"/>
        </w:rPr>
      </w:pPr>
      <w:r w:rsidRPr="00C85679">
        <w:rPr>
          <w:sz w:val="18"/>
          <w:szCs w:val="18"/>
        </w:rPr>
        <w:t>I can determine the credibility of a source and the accuracy of the details presented in the source.</w:t>
      </w:r>
    </w:p>
    <w:p w:rsidR="00593D32" w:rsidRDefault="00593D32" w:rsidP="00593D32">
      <w:pPr>
        <w:pStyle w:val="ListParagraph"/>
        <w:numPr>
          <w:ilvl w:val="0"/>
          <w:numId w:val="15"/>
        </w:numPr>
        <w:spacing w:after="200" w:line="276" w:lineRule="auto"/>
        <w:rPr>
          <w:sz w:val="18"/>
          <w:szCs w:val="18"/>
        </w:rPr>
      </w:pPr>
      <w:r w:rsidRPr="00C85679">
        <w:rPr>
          <w:sz w:val="18"/>
          <w:szCs w:val="18"/>
        </w:rPr>
        <w:t>I can analyze the context of various texts and determine how language choice affects meaning, style, and comprehension.</w:t>
      </w:r>
    </w:p>
    <w:p w:rsidR="00593D32" w:rsidRDefault="00593D32" w:rsidP="008D69ED">
      <w:pPr>
        <w:pStyle w:val="ListParagraph"/>
        <w:spacing w:after="200" w:line="276" w:lineRule="auto"/>
        <w:rPr>
          <w:sz w:val="18"/>
          <w:szCs w:val="18"/>
        </w:rPr>
      </w:pPr>
    </w:p>
    <w:p w:rsidR="00F66AE9" w:rsidRDefault="00F66AE9" w:rsidP="008D69ED">
      <w:pPr>
        <w:pStyle w:val="ListParagraph"/>
        <w:spacing w:after="200" w:line="276" w:lineRule="auto"/>
        <w:rPr>
          <w:sz w:val="18"/>
          <w:szCs w:val="18"/>
        </w:rPr>
      </w:pPr>
    </w:p>
    <w:p w:rsidR="00F66AE9" w:rsidRDefault="00F66AE9" w:rsidP="008D69ED">
      <w:pPr>
        <w:pStyle w:val="ListParagraph"/>
        <w:spacing w:after="200" w:line="276" w:lineRule="auto"/>
        <w:rPr>
          <w:sz w:val="18"/>
          <w:szCs w:val="18"/>
        </w:rPr>
      </w:pPr>
    </w:p>
    <w:p w:rsidR="00F66AE9" w:rsidRDefault="00F66AE9" w:rsidP="008D69ED">
      <w:pPr>
        <w:pStyle w:val="ListParagraph"/>
        <w:spacing w:after="200" w:line="276" w:lineRule="auto"/>
        <w:rPr>
          <w:sz w:val="18"/>
          <w:szCs w:val="18"/>
        </w:rPr>
      </w:pPr>
    </w:p>
    <w:p w:rsidR="00F66AE9" w:rsidRDefault="00F66AE9" w:rsidP="008D69ED">
      <w:pPr>
        <w:pStyle w:val="ListParagraph"/>
        <w:spacing w:after="200" w:line="276" w:lineRule="auto"/>
        <w:rPr>
          <w:sz w:val="18"/>
          <w:szCs w:val="18"/>
        </w:rPr>
      </w:pPr>
    </w:p>
    <w:p w:rsidR="00F66AE9" w:rsidRDefault="00F66AE9" w:rsidP="008D69ED">
      <w:pPr>
        <w:pStyle w:val="ListParagraph"/>
        <w:spacing w:after="200" w:line="276" w:lineRule="auto"/>
        <w:rPr>
          <w:sz w:val="18"/>
          <w:szCs w:val="18"/>
        </w:rPr>
      </w:pPr>
    </w:p>
    <w:p w:rsidR="00F66AE9" w:rsidRDefault="00F66AE9" w:rsidP="008D69ED">
      <w:pPr>
        <w:pStyle w:val="ListParagraph"/>
        <w:spacing w:after="200" w:line="276" w:lineRule="auto"/>
        <w:rPr>
          <w:sz w:val="18"/>
          <w:szCs w:val="18"/>
        </w:rPr>
      </w:pPr>
    </w:p>
    <w:p w:rsidR="00F66AE9" w:rsidRDefault="00F66AE9" w:rsidP="008D69ED">
      <w:pPr>
        <w:pStyle w:val="ListParagraph"/>
        <w:spacing w:after="200" w:line="276" w:lineRule="auto"/>
        <w:rPr>
          <w:sz w:val="18"/>
          <w:szCs w:val="18"/>
        </w:rPr>
      </w:pPr>
    </w:p>
    <w:p w:rsidR="00F66AE9" w:rsidRDefault="00F66AE9" w:rsidP="008D69ED">
      <w:pPr>
        <w:pStyle w:val="ListParagraph"/>
        <w:spacing w:after="200" w:line="276" w:lineRule="auto"/>
        <w:rPr>
          <w:sz w:val="18"/>
          <w:szCs w:val="18"/>
        </w:rPr>
      </w:pPr>
    </w:p>
    <w:p w:rsidR="00F66AE9" w:rsidRDefault="00F66AE9" w:rsidP="008D69ED">
      <w:pPr>
        <w:pStyle w:val="ListParagraph"/>
        <w:spacing w:after="200" w:line="276" w:lineRule="auto"/>
        <w:rPr>
          <w:sz w:val="18"/>
          <w:szCs w:val="18"/>
        </w:rPr>
      </w:pPr>
    </w:p>
    <w:p w:rsidR="00593D32" w:rsidRDefault="00593D32" w:rsidP="00593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32"/>
          <w:szCs w:val="32"/>
        </w:rPr>
      </w:pPr>
      <w:r w:rsidRPr="007D5B17">
        <w:rPr>
          <w:b/>
          <w:sz w:val="32"/>
          <w:szCs w:val="32"/>
        </w:rPr>
        <w:t>Core Questions for Quarter 2</w:t>
      </w:r>
      <w:r>
        <w:rPr>
          <w:b/>
          <w:sz w:val="32"/>
          <w:szCs w:val="32"/>
        </w:rPr>
        <w:t xml:space="preserve"> &amp; </w:t>
      </w:r>
      <w:r w:rsidRPr="004769A7">
        <w:rPr>
          <w:b/>
          <w:i/>
          <w:sz w:val="32"/>
          <w:szCs w:val="32"/>
        </w:rPr>
        <w:t>1984</w:t>
      </w:r>
      <w:r w:rsidRPr="007D5B17">
        <w:rPr>
          <w:b/>
          <w:sz w:val="32"/>
          <w:szCs w:val="32"/>
        </w:rPr>
        <w:t>:</w:t>
      </w:r>
    </w:p>
    <w:p w:rsidR="00593D32" w:rsidRPr="007D5B17" w:rsidRDefault="00593D32" w:rsidP="00593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b/>
          <w:sz w:val="32"/>
          <w:szCs w:val="32"/>
        </w:rPr>
      </w:pPr>
      <w:r w:rsidRPr="007D5B17">
        <w:rPr>
          <w:b/>
          <w:sz w:val="32"/>
          <w:szCs w:val="32"/>
        </w:rPr>
        <w:t xml:space="preserve">  As consumers of information, who do I believe?</w:t>
      </w:r>
    </w:p>
    <w:p w:rsidR="00EA4946" w:rsidRDefault="00EA4946" w:rsidP="00EA4946">
      <w:pPr>
        <w:jc w:val="center"/>
        <w:rPr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033270" cy="1337481"/>
            <wp:effectExtent l="19050" t="0" r="0" b="0"/>
            <wp:docPr id="2" name="Picture 1" descr="http://t3.gstatic.com/images?q=tbn:ANd9GcRmzuPLABy861uuM3VcZHGaJZgoXcfPJv11SRqyiILi7jVVJM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RmzuPLABy861uuM3VcZHGaJZgoXcfPJv11SRqyiILi7jVVJM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897" cy="133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025004" cy="1226344"/>
            <wp:effectExtent l="19050" t="0" r="3696" b="0"/>
            <wp:docPr id="7" name="Picture 7" descr="http://t3.gstatic.com/images?q=tbn:ANd9GcQ5XdkgLiOEekqMSi6D-Sgh7E8UcFx0Z1GFxEmMhDd-toTw1U_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Q5XdkgLiOEekqMSi6D-Sgh7E8UcFx0Z1GFxEmMhDd-toTw1U_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617" cy="1228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220195" cy="1220195"/>
            <wp:effectExtent l="19050" t="0" r="0" b="0"/>
            <wp:docPr id="10" name="Picture 10" descr="http://t2.gstatic.com/images?q=tbn:ANd9GcS6xxBwpM43ojgNESlnoHGiF30y6d7hJ2Om4HZPDV_CojMFu4A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2.gstatic.com/images?q=tbn:ANd9GcS6xxBwpM43ojgNESlnoHGiF30y6d7hJ2Om4HZPDV_CojMFu4A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546" cy="122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FE9" w:rsidRDefault="007F3FE9">
      <w:pPr>
        <w:rPr>
          <w:u w:val="single"/>
        </w:rPr>
      </w:pPr>
    </w:p>
    <w:p w:rsidR="007F3FE9" w:rsidRDefault="007F3FE9">
      <w:pPr>
        <w:rPr>
          <w:u w:val="single"/>
        </w:rPr>
      </w:pPr>
      <w:r>
        <w:rPr>
          <w:u w:val="single"/>
        </w:rPr>
        <w:t>Continue to read and compare this week and be ready to prepare for your next expository/comparison essay this quarter.  Be sure to extract strong text evidence and the page numbers from your text to help you in this journey.</w:t>
      </w:r>
    </w:p>
    <w:p w:rsidR="007F3FE9" w:rsidRDefault="007F3FE9"/>
    <w:p w:rsidR="008D69ED" w:rsidRPr="003C5E5E" w:rsidRDefault="008D4209" w:rsidP="00313F45">
      <w:r w:rsidRPr="00004F59">
        <w:t>M</w:t>
      </w:r>
      <w:r w:rsidR="00004F59">
        <w:rPr>
          <w:b/>
        </w:rPr>
        <w:t>:</w:t>
      </w:r>
      <w:r w:rsidR="00313F45" w:rsidRPr="003C5E5E">
        <w:rPr>
          <w:b/>
        </w:rPr>
        <w:tab/>
      </w:r>
      <w:r w:rsidR="00C661C2" w:rsidRPr="003C5E5E">
        <w:t xml:space="preserve">Weekly Letter:  </w:t>
      </w:r>
    </w:p>
    <w:p w:rsidR="00313F45" w:rsidRPr="003C5E5E" w:rsidRDefault="00313F45" w:rsidP="00313F45">
      <w:pPr>
        <w:rPr>
          <w:b/>
        </w:rPr>
      </w:pPr>
      <w:r w:rsidRPr="003C5E5E">
        <w:tab/>
        <w:t>Distribute Study Guide book II-III</w:t>
      </w:r>
    </w:p>
    <w:p w:rsidR="00D14F72" w:rsidRPr="003C5E5E" w:rsidRDefault="00C661C2" w:rsidP="00313F45">
      <w:pPr>
        <w:pStyle w:val="ListParagraph"/>
      </w:pPr>
      <w:r w:rsidRPr="003C5E5E">
        <w:t>Silent Reading: book 2</w:t>
      </w:r>
      <w:r w:rsidR="00313F45" w:rsidRPr="003C5E5E">
        <w:t xml:space="preserve"> chapter 3-6 by Wednesday &amp; SG</w:t>
      </w:r>
    </w:p>
    <w:p w:rsidR="00C661C2" w:rsidRPr="003C5E5E" w:rsidRDefault="00C661C2" w:rsidP="008D69ED">
      <w:pPr>
        <w:pStyle w:val="ListParagraph"/>
      </w:pPr>
    </w:p>
    <w:p w:rsidR="00C661C2" w:rsidRPr="003C5E5E" w:rsidRDefault="00C661C2" w:rsidP="00C661C2">
      <w:r w:rsidRPr="003C5E5E">
        <w:t>T</w:t>
      </w:r>
      <w:r w:rsidR="00004F59">
        <w:t>:</w:t>
      </w:r>
      <w:r w:rsidR="00313F45" w:rsidRPr="003C5E5E">
        <w:tab/>
        <w:t>NO School:  PD Day</w:t>
      </w:r>
    </w:p>
    <w:p w:rsidR="00313F45" w:rsidRPr="003C5E5E" w:rsidRDefault="00313F45" w:rsidP="00C661C2"/>
    <w:p w:rsidR="00313F45" w:rsidRPr="003C5E5E" w:rsidRDefault="00313F45" w:rsidP="003C5E5E">
      <w:pPr>
        <w:spacing w:after="200"/>
        <w:ind w:left="720" w:hanging="720"/>
        <w:contextualSpacing/>
      </w:pPr>
      <w:r w:rsidRPr="003C5E5E">
        <w:t>W</w:t>
      </w:r>
      <w:r w:rsidR="00004F59">
        <w:t>:</w:t>
      </w:r>
      <w:r w:rsidRPr="003C5E5E">
        <w:tab/>
      </w:r>
      <w:r w:rsidRPr="00F66AE9">
        <w:rPr>
          <w:sz w:val="40"/>
          <w:szCs w:val="40"/>
        </w:rPr>
        <w:t>Diction &amp; Tone</w:t>
      </w:r>
      <w:r w:rsidRPr="003C5E5E">
        <w:t>-- I can analyze how specific word choices build upon one another to create a cumulative impact on the overall meaning and tone of a text (i.e., denotative, connotative, figurative)</w:t>
      </w:r>
    </w:p>
    <w:p w:rsidR="00313F45" w:rsidRPr="003C5E5E" w:rsidRDefault="00313F45" w:rsidP="00313F45">
      <w:pPr>
        <w:spacing w:after="200"/>
        <w:contextualSpacing/>
      </w:pPr>
      <w:r w:rsidRPr="003C5E5E">
        <w:tab/>
        <w:t>---Distribute diction and tone handout</w:t>
      </w:r>
    </w:p>
    <w:p w:rsidR="00313F45" w:rsidRDefault="00313F45" w:rsidP="00313F45">
      <w:pPr>
        <w:spacing w:after="200"/>
        <w:ind w:firstLine="720"/>
        <w:contextualSpacing/>
      </w:pPr>
      <w:r w:rsidRPr="003C5E5E">
        <w:t>---PowerPoint on learning goal and diction</w:t>
      </w:r>
    </w:p>
    <w:p w:rsidR="003C5E5E" w:rsidRPr="003C5E5E" w:rsidRDefault="003C5E5E" w:rsidP="00004F59">
      <w:pPr>
        <w:spacing w:after="200"/>
        <w:ind w:left="720"/>
        <w:contextualSpacing/>
        <w:rPr>
          <w:b/>
          <w:u w:val="single"/>
        </w:rPr>
      </w:pPr>
      <w:r w:rsidRPr="003C5E5E">
        <w:rPr>
          <w:b/>
          <w:u w:val="single"/>
        </w:rPr>
        <w:t xml:space="preserve">HMWK:  Read Book II </w:t>
      </w:r>
      <w:proofErr w:type="spellStart"/>
      <w:r w:rsidRPr="003C5E5E">
        <w:rPr>
          <w:b/>
          <w:u w:val="single"/>
        </w:rPr>
        <w:t>ch</w:t>
      </w:r>
      <w:proofErr w:type="spellEnd"/>
      <w:r w:rsidRPr="003C5E5E">
        <w:rPr>
          <w:b/>
          <w:u w:val="single"/>
        </w:rPr>
        <w:t xml:space="preserve"> 7-9</w:t>
      </w:r>
      <w:r w:rsidR="00004F59">
        <w:rPr>
          <w:b/>
          <w:u w:val="single"/>
        </w:rPr>
        <w:t xml:space="preserve"> by Friday</w:t>
      </w:r>
      <w:r w:rsidR="005A0FAE">
        <w:rPr>
          <w:b/>
          <w:u w:val="single"/>
        </w:rPr>
        <w:t xml:space="preserve"> </w:t>
      </w:r>
      <w:r w:rsidR="00004F59">
        <w:rPr>
          <w:b/>
          <w:u w:val="single"/>
        </w:rPr>
        <w:t xml:space="preserve">---SG optional </w:t>
      </w:r>
      <w:r w:rsidR="005A0FAE">
        <w:rPr>
          <w:b/>
          <w:u w:val="single"/>
        </w:rPr>
        <w:t>(adjust reading chapter 9------</w:t>
      </w:r>
      <w:r w:rsidR="00004F59">
        <w:rPr>
          <w:b/>
          <w:u w:val="single"/>
        </w:rPr>
        <w:t xml:space="preserve">179-189 (stop at “But </w:t>
      </w:r>
      <w:proofErr w:type="spellStart"/>
      <w:r w:rsidR="00004F59">
        <w:rPr>
          <w:b/>
          <w:u w:val="single"/>
        </w:rPr>
        <w:t>is</w:t>
      </w:r>
      <w:proofErr w:type="spellEnd"/>
      <w:r w:rsidR="00004F59">
        <w:rPr>
          <w:b/>
          <w:u w:val="single"/>
        </w:rPr>
        <w:t xml:space="preserve"> was also clear…” pp 199-207 (stop at “after the middle of the present century…”, pp 217-</w:t>
      </w:r>
      <w:proofErr w:type="gramStart"/>
      <w:r w:rsidR="00004F59">
        <w:rPr>
          <w:b/>
          <w:u w:val="single"/>
        </w:rPr>
        <w:t>218)----</w:t>
      </w:r>
      <w:proofErr w:type="gramEnd"/>
      <w:r w:rsidR="00004F59">
        <w:rPr>
          <w:b/>
          <w:u w:val="single"/>
        </w:rPr>
        <w:t xml:space="preserve">so now </w:t>
      </w:r>
      <w:proofErr w:type="spellStart"/>
      <w:r w:rsidR="00004F59">
        <w:rPr>
          <w:b/>
          <w:u w:val="single"/>
        </w:rPr>
        <w:t>ch</w:t>
      </w:r>
      <w:proofErr w:type="spellEnd"/>
      <w:r w:rsidR="00004F59">
        <w:rPr>
          <w:b/>
          <w:u w:val="single"/>
        </w:rPr>
        <w:t xml:space="preserve"> 9 is 22 pages instead of 40 +)</w:t>
      </w:r>
    </w:p>
    <w:p w:rsidR="00313F45" w:rsidRPr="003C5E5E" w:rsidRDefault="00313F45" w:rsidP="00313F45">
      <w:pPr>
        <w:spacing w:after="200"/>
        <w:contextualSpacing/>
      </w:pPr>
      <w:r w:rsidRPr="003C5E5E">
        <w:tab/>
      </w:r>
    </w:p>
    <w:p w:rsidR="003C5E5E" w:rsidRDefault="003C5E5E" w:rsidP="003C5E5E">
      <w:pPr>
        <w:spacing w:after="200"/>
        <w:ind w:left="720" w:hanging="720"/>
        <w:contextualSpacing/>
      </w:pPr>
      <w:r w:rsidRPr="003C5E5E">
        <w:t>TH</w:t>
      </w:r>
      <w:r w:rsidR="00004F59">
        <w:t>:</w:t>
      </w:r>
      <w:r w:rsidRPr="003C5E5E">
        <w:tab/>
      </w:r>
      <w:r w:rsidRPr="00F66AE9">
        <w:rPr>
          <w:sz w:val="40"/>
          <w:szCs w:val="40"/>
        </w:rPr>
        <w:t>Diction &amp; Tone:</w:t>
      </w:r>
      <w:r w:rsidRPr="003C5E5E">
        <w:t xml:space="preserve"> Review book I vs. book II--- can analyze how specific word choices build upon one another to create a cumulative impact on the overall meaning and tone of a text (i.e., denotative, connotative, figurative)</w:t>
      </w:r>
    </w:p>
    <w:p w:rsidR="00004F59" w:rsidRPr="00004F59" w:rsidRDefault="00004F59" w:rsidP="003C5E5E">
      <w:pPr>
        <w:spacing w:after="200"/>
        <w:ind w:left="720" w:hanging="720"/>
        <w:contextualSpacing/>
        <w:rPr>
          <w:b/>
          <w:u w:val="single"/>
        </w:rPr>
      </w:pPr>
      <w:r>
        <w:tab/>
      </w:r>
      <w:r w:rsidRPr="00004F59">
        <w:rPr>
          <w:b/>
          <w:u w:val="single"/>
        </w:rPr>
        <w:t>HMWK: finish reading chapter 9 with adjusted schedule---SG optional</w:t>
      </w:r>
      <w:r>
        <w:rPr>
          <w:b/>
          <w:u w:val="single"/>
        </w:rPr>
        <w:t>----study for Quiz Book II</w:t>
      </w:r>
    </w:p>
    <w:p w:rsidR="00004F59" w:rsidRDefault="00004F59" w:rsidP="003C5E5E">
      <w:pPr>
        <w:spacing w:after="200"/>
        <w:ind w:left="720" w:hanging="720"/>
        <w:contextualSpacing/>
      </w:pPr>
    </w:p>
    <w:p w:rsidR="00004F59" w:rsidRPr="00F66AE9" w:rsidRDefault="00004F59" w:rsidP="003C5E5E">
      <w:pPr>
        <w:spacing w:after="200"/>
        <w:ind w:left="720" w:hanging="720"/>
        <w:contextualSpacing/>
        <w:rPr>
          <w:sz w:val="52"/>
          <w:szCs w:val="52"/>
        </w:rPr>
      </w:pPr>
      <w:r>
        <w:t>F:</w:t>
      </w:r>
      <w:r>
        <w:tab/>
      </w:r>
      <w:r w:rsidRPr="00F66AE9">
        <w:rPr>
          <w:sz w:val="52"/>
          <w:szCs w:val="52"/>
        </w:rPr>
        <w:t>Quiz over Book II</w:t>
      </w:r>
    </w:p>
    <w:p w:rsidR="00F66AE9" w:rsidRPr="003C5E5E" w:rsidRDefault="00F66AE9" w:rsidP="003C5E5E">
      <w:pPr>
        <w:spacing w:after="200"/>
        <w:ind w:left="720" w:hanging="720"/>
        <w:contextualSpacing/>
      </w:pPr>
      <w:r>
        <w:tab/>
        <w:t>Read Tiananmen Square articles and compare how this information is similar to 1984----Use TE from article and novel.  Handwrite this as an on-demand response.</w:t>
      </w:r>
    </w:p>
    <w:p w:rsidR="003C5E5E" w:rsidRDefault="003C5E5E" w:rsidP="003C5E5E">
      <w:pPr>
        <w:spacing w:after="200"/>
        <w:ind w:firstLine="720"/>
        <w:contextualSpacing/>
        <w:rPr>
          <w:b/>
          <w:u w:val="single"/>
        </w:rPr>
      </w:pPr>
      <w:r w:rsidRPr="003C5E5E">
        <w:rPr>
          <w:b/>
          <w:u w:val="single"/>
        </w:rPr>
        <w:t xml:space="preserve">HMWK:  Read Book </w:t>
      </w:r>
      <w:r w:rsidR="00004F59">
        <w:rPr>
          <w:b/>
          <w:u w:val="single"/>
        </w:rPr>
        <w:t xml:space="preserve">II </w:t>
      </w:r>
      <w:proofErr w:type="spellStart"/>
      <w:r w:rsidR="00004F59">
        <w:rPr>
          <w:b/>
          <w:u w:val="single"/>
        </w:rPr>
        <w:t>ch</w:t>
      </w:r>
      <w:proofErr w:type="spellEnd"/>
      <w:r w:rsidR="00004F59">
        <w:rPr>
          <w:b/>
          <w:u w:val="single"/>
        </w:rPr>
        <w:t xml:space="preserve"> 10 and Book III </w:t>
      </w:r>
      <w:proofErr w:type="spellStart"/>
      <w:r w:rsidR="00004F59">
        <w:rPr>
          <w:b/>
          <w:u w:val="single"/>
        </w:rPr>
        <w:t>ch</w:t>
      </w:r>
      <w:proofErr w:type="spellEnd"/>
      <w:r w:rsidR="00004F59">
        <w:rPr>
          <w:b/>
          <w:u w:val="single"/>
        </w:rPr>
        <w:t xml:space="preserve"> 1 by Monday</w:t>
      </w:r>
    </w:p>
    <w:p w:rsidR="00694360" w:rsidRDefault="00694360" w:rsidP="00F66AE9"/>
    <w:p w:rsidR="001C4FD1" w:rsidRDefault="001C4FD1" w:rsidP="00F66AE9">
      <w:r>
        <w:t>Future Assessments coming up this quarter:</w:t>
      </w:r>
    </w:p>
    <w:p w:rsidR="00F66AE9" w:rsidRDefault="001C4FD1" w:rsidP="001C4FD1">
      <w:pPr>
        <w:pStyle w:val="ListParagraph"/>
        <w:numPr>
          <w:ilvl w:val="0"/>
          <w:numId w:val="23"/>
        </w:numPr>
      </w:pPr>
      <w:r>
        <w:t>S</w:t>
      </w:r>
      <w:r w:rsidR="00F66AE9">
        <w:t>ummative Test will be Thanksgiving Week</w:t>
      </w:r>
      <w:r>
        <w:t>.  The test will cover:</w:t>
      </w:r>
    </w:p>
    <w:p w:rsidR="00F66AE9" w:rsidRDefault="00F66AE9" w:rsidP="001C4FD1">
      <w:pPr>
        <w:ind w:left="720" w:firstLine="720"/>
      </w:pPr>
      <w:r>
        <w:t>1984</w:t>
      </w:r>
    </w:p>
    <w:p w:rsidR="00F66AE9" w:rsidRDefault="00F66AE9" w:rsidP="001C4FD1">
      <w:pPr>
        <w:ind w:left="720" w:firstLine="720"/>
      </w:pPr>
      <w:r>
        <w:t>Cold Read</w:t>
      </w:r>
    </w:p>
    <w:p w:rsidR="00F66AE9" w:rsidRDefault="00F66AE9" w:rsidP="001C4FD1">
      <w:pPr>
        <w:ind w:left="720" w:firstLine="720"/>
      </w:pPr>
      <w:r>
        <w:t>Diction/Tone</w:t>
      </w:r>
    </w:p>
    <w:p w:rsidR="00F66AE9" w:rsidRDefault="00F66AE9" w:rsidP="001C4FD1">
      <w:pPr>
        <w:ind w:left="720" w:firstLine="720"/>
      </w:pPr>
      <w:r>
        <w:t>Supporting ideas with text evidence</w:t>
      </w:r>
    </w:p>
    <w:p w:rsidR="00F66AE9" w:rsidRDefault="00A34F6A" w:rsidP="001C4FD1">
      <w:pPr>
        <w:ind w:left="720" w:firstLine="720"/>
      </w:pPr>
      <w:r>
        <w:t>Compare/Contrast</w:t>
      </w:r>
    </w:p>
    <w:p w:rsidR="001C4FD1" w:rsidRDefault="001C4FD1" w:rsidP="001C4FD1">
      <w:pPr>
        <w:pStyle w:val="ListParagraph"/>
        <w:numPr>
          <w:ilvl w:val="0"/>
          <w:numId w:val="23"/>
        </w:numPr>
      </w:pPr>
      <w:r>
        <w:t>Socratic Seminar</w:t>
      </w:r>
    </w:p>
    <w:p w:rsidR="001C4FD1" w:rsidRDefault="001C4FD1" w:rsidP="001C4FD1">
      <w:pPr>
        <w:pStyle w:val="ListParagraph"/>
        <w:numPr>
          <w:ilvl w:val="0"/>
          <w:numId w:val="23"/>
        </w:numPr>
      </w:pPr>
      <w:r>
        <w:t>Expository Comparison Essay</w:t>
      </w:r>
      <w:bookmarkStart w:id="0" w:name="_GoBack"/>
      <w:bookmarkEnd w:id="0"/>
    </w:p>
    <w:p w:rsidR="001C4FD1" w:rsidRDefault="001C4FD1" w:rsidP="001C4FD1">
      <w:pPr>
        <w:ind w:left="720" w:firstLine="720"/>
      </w:pPr>
    </w:p>
    <w:p w:rsidR="001C4FD1" w:rsidRDefault="001C4FD1" w:rsidP="001C4FD1">
      <w:pPr>
        <w:ind w:left="720" w:firstLine="720"/>
      </w:pPr>
    </w:p>
    <w:p w:rsidR="00F66AE9" w:rsidRDefault="00F66AE9" w:rsidP="00F66AE9"/>
    <w:p w:rsidR="00F66AE9" w:rsidRPr="00C5680D" w:rsidRDefault="00F66AE9" w:rsidP="00F66AE9"/>
    <w:sectPr w:rsidR="00F66AE9" w:rsidRPr="00C5680D" w:rsidSect="008D69ED">
      <w:pgSz w:w="12240" w:h="15840"/>
      <w:pgMar w:top="630" w:right="1080" w:bottom="0" w:left="1080" w:header="720" w:footer="720" w:gutter="0"/>
      <w:pgBorders w:offsetFrom="page">
        <w:top w:val="dotted" w:sz="12" w:space="24" w:color="auto"/>
        <w:left w:val="dotted" w:sz="12" w:space="24" w:color="auto"/>
        <w:bottom w:val="dotted" w:sz="12" w:space="24" w:color="auto"/>
        <w:right w:val="dott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0BB"/>
    <w:multiLevelType w:val="hybridMultilevel"/>
    <w:tmpl w:val="99F0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1FCB"/>
    <w:multiLevelType w:val="hybridMultilevel"/>
    <w:tmpl w:val="D86A1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A18FB"/>
    <w:multiLevelType w:val="hybridMultilevel"/>
    <w:tmpl w:val="07DE544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1006661A"/>
    <w:multiLevelType w:val="hybridMultilevel"/>
    <w:tmpl w:val="7C901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94E91"/>
    <w:multiLevelType w:val="hybridMultilevel"/>
    <w:tmpl w:val="86CCD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434A32"/>
    <w:multiLevelType w:val="hybridMultilevel"/>
    <w:tmpl w:val="BA0CE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EC5BE5"/>
    <w:multiLevelType w:val="hybridMultilevel"/>
    <w:tmpl w:val="BE9AB8F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8053ABC"/>
    <w:multiLevelType w:val="hybridMultilevel"/>
    <w:tmpl w:val="17CE92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90196"/>
    <w:multiLevelType w:val="hybridMultilevel"/>
    <w:tmpl w:val="1316A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B6D5D"/>
    <w:multiLevelType w:val="hybridMultilevel"/>
    <w:tmpl w:val="A970BF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0297348"/>
    <w:multiLevelType w:val="hybridMultilevel"/>
    <w:tmpl w:val="98C4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97FA9"/>
    <w:multiLevelType w:val="hybridMultilevel"/>
    <w:tmpl w:val="ABE0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A62E8"/>
    <w:multiLevelType w:val="hybridMultilevel"/>
    <w:tmpl w:val="60C6F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08388E"/>
    <w:multiLevelType w:val="hybridMultilevel"/>
    <w:tmpl w:val="CE4CD1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1692592"/>
    <w:multiLevelType w:val="hybridMultilevel"/>
    <w:tmpl w:val="3894F74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4F860778"/>
    <w:multiLevelType w:val="hybridMultilevel"/>
    <w:tmpl w:val="490A8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A6158B"/>
    <w:multiLevelType w:val="hybridMultilevel"/>
    <w:tmpl w:val="1EE0D242"/>
    <w:lvl w:ilvl="0" w:tplc="DBAE3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A24437"/>
    <w:multiLevelType w:val="hybridMultilevel"/>
    <w:tmpl w:val="C798C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C21E9"/>
    <w:multiLevelType w:val="hybridMultilevel"/>
    <w:tmpl w:val="1E6EC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747C8D"/>
    <w:multiLevelType w:val="hybridMultilevel"/>
    <w:tmpl w:val="FDF8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359AE"/>
    <w:multiLevelType w:val="hybridMultilevel"/>
    <w:tmpl w:val="82FE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553B2"/>
    <w:multiLevelType w:val="hybridMultilevel"/>
    <w:tmpl w:val="109ED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3F5629"/>
    <w:multiLevelType w:val="hybridMultilevel"/>
    <w:tmpl w:val="6E845B1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3"/>
  </w:num>
  <w:num w:numId="5">
    <w:abstractNumId w:val="8"/>
  </w:num>
  <w:num w:numId="6">
    <w:abstractNumId w:val="14"/>
  </w:num>
  <w:num w:numId="7">
    <w:abstractNumId w:val="2"/>
  </w:num>
  <w:num w:numId="8">
    <w:abstractNumId w:val="5"/>
  </w:num>
  <w:num w:numId="9">
    <w:abstractNumId w:val="6"/>
  </w:num>
  <w:num w:numId="10">
    <w:abstractNumId w:val="22"/>
  </w:num>
  <w:num w:numId="11">
    <w:abstractNumId w:val="0"/>
  </w:num>
  <w:num w:numId="12">
    <w:abstractNumId w:val="17"/>
  </w:num>
  <w:num w:numId="13">
    <w:abstractNumId w:val="13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21"/>
  </w:num>
  <w:num w:numId="19">
    <w:abstractNumId w:val="12"/>
  </w:num>
  <w:num w:numId="20">
    <w:abstractNumId w:val="1"/>
  </w:num>
  <w:num w:numId="21">
    <w:abstractNumId w:val="4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09"/>
    <w:rsid w:val="00004F59"/>
    <w:rsid w:val="00055C31"/>
    <w:rsid w:val="000B7003"/>
    <w:rsid w:val="001C4FD1"/>
    <w:rsid w:val="001F1D09"/>
    <w:rsid w:val="0022595A"/>
    <w:rsid w:val="00254781"/>
    <w:rsid w:val="002A53F1"/>
    <w:rsid w:val="002A7EF5"/>
    <w:rsid w:val="00313F45"/>
    <w:rsid w:val="003C2028"/>
    <w:rsid w:val="003C5E5E"/>
    <w:rsid w:val="003E033E"/>
    <w:rsid w:val="00442418"/>
    <w:rsid w:val="004567EC"/>
    <w:rsid w:val="004B500F"/>
    <w:rsid w:val="004E29D8"/>
    <w:rsid w:val="00520B62"/>
    <w:rsid w:val="00572DCC"/>
    <w:rsid w:val="00593D32"/>
    <w:rsid w:val="005A0FAE"/>
    <w:rsid w:val="005A7450"/>
    <w:rsid w:val="005C45FF"/>
    <w:rsid w:val="005E4157"/>
    <w:rsid w:val="005E73B1"/>
    <w:rsid w:val="005E7779"/>
    <w:rsid w:val="0061793A"/>
    <w:rsid w:val="00694360"/>
    <w:rsid w:val="006A1A4E"/>
    <w:rsid w:val="007401C8"/>
    <w:rsid w:val="00761CCC"/>
    <w:rsid w:val="007E4AB2"/>
    <w:rsid w:val="007F3FE9"/>
    <w:rsid w:val="008D4209"/>
    <w:rsid w:val="008D69ED"/>
    <w:rsid w:val="008E6651"/>
    <w:rsid w:val="009030F1"/>
    <w:rsid w:val="00915E5D"/>
    <w:rsid w:val="00916CEC"/>
    <w:rsid w:val="009264BA"/>
    <w:rsid w:val="009A5330"/>
    <w:rsid w:val="009F7485"/>
    <w:rsid w:val="00A33422"/>
    <w:rsid w:val="00A334D2"/>
    <w:rsid w:val="00A34F6A"/>
    <w:rsid w:val="00A95E32"/>
    <w:rsid w:val="00AF4C0C"/>
    <w:rsid w:val="00B264B4"/>
    <w:rsid w:val="00BA4CCF"/>
    <w:rsid w:val="00BC2BC4"/>
    <w:rsid w:val="00C365C9"/>
    <w:rsid w:val="00C56742"/>
    <w:rsid w:val="00C5680D"/>
    <w:rsid w:val="00C661C2"/>
    <w:rsid w:val="00C95A57"/>
    <w:rsid w:val="00CB74B5"/>
    <w:rsid w:val="00D14F72"/>
    <w:rsid w:val="00D157D3"/>
    <w:rsid w:val="00DA24A4"/>
    <w:rsid w:val="00DE1CC6"/>
    <w:rsid w:val="00E114DC"/>
    <w:rsid w:val="00E650C3"/>
    <w:rsid w:val="00EA4946"/>
    <w:rsid w:val="00F212F3"/>
    <w:rsid w:val="00F66AE9"/>
    <w:rsid w:val="00FD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1AC6F1-4F14-47BA-95E4-B44F7434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C3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DefaultParagraphFont"/>
    <w:rsid w:val="00D157D3"/>
  </w:style>
  <w:style w:type="character" w:styleId="Hyperlink">
    <w:name w:val="Hyperlink"/>
    <w:basedOn w:val="DefaultParagraphFont"/>
    <w:uiPriority w:val="99"/>
    <w:unhideWhenUsed/>
    <w:rsid w:val="00D15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media.idownloadblog.com/wp-content/uploads/2012/06/Big-Brother-is-watching-you.jpg&amp;imgrefurl=http://www.idownloadblog.com/2012/06/24/apple-patent-techniques-to-pollute-electronic-profiling/&amp;h=252&amp;w=210&amp;tbnid=q5yDux_x4N_WCM:&amp;zoom=1&amp;q=big%20brother&amp;docid=H9Gi2gcX0nRpaM&amp;ei=lsmBVP-gAcq0yATl1IGoBg&amp;tbm=isch&amp;ved=0CD4QMygVMBU&amp;iact=rc&amp;uact=3&amp;dur=505&amp;page=1&amp;start=0&amp;ndsp=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www.ridingwiththewindowdown.com/wp-content/uploads/2014/05/google_big-brother.png&amp;imgrefurl=http://www.ridingwiththewindowdown.com/2014/05/21/brother-tracking-everything/&amp;h=647&amp;w=500&amp;tbnid=591vUA-vmgIcIM:&amp;zoom=1&amp;q=big%20brother&amp;docid=FO5FRUa0YPB27M&amp;ei=lsmBVP-gAcq0yATl1IGoBg&amp;tbm=isch&amp;ved=0CD8QMygWMBY&amp;iact=rc&amp;uact=3&amp;dur=567&amp;page=1&amp;start=0&amp;ndsp=24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google.com/imgres?imgurl=https://pbs.twimg.com/profile_images/463786432629194752/3tugQKNx.png&amp;imgrefurl=https://twitter.com/cbsbigbrother&amp;h=400&amp;w=400&amp;tbnid=N1XOy2yGXW7JdM:&amp;zoom=1&amp;q=big%20brother&amp;docid=PP3Q1QhPigdvYM&amp;ei=lsmBVP-gAcq0yATl1IGoBg&amp;tbm=isch&amp;ved=0CEIQMygZMBk&amp;iact=rc&amp;uact=3&amp;dur=416&amp;page=2&amp;start=24&amp;ndsp=2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Beery, Kari</dc:creator>
  <cp:lastModifiedBy>MFCSD</cp:lastModifiedBy>
  <cp:revision>3</cp:revision>
  <cp:lastPrinted>2014-12-08T12:14:00Z</cp:lastPrinted>
  <dcterms:created xsi:type="dcterms:W3CDTF">2016-11-08T17:32:00Z</dcterms:created>
  <dcterms:modified xsi:type="dcterms:W3CDTF">2016-11-08T17:40:00Z</dcterms:modified>
</cp:coreProperties>
</file>